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E62C19" w:rsidTr="00377BC3">
        <w:tc>
          <w:tcPr>
            <w:tcW w:w="743" w:type="dxa"/>
          </w:tcPr>
          <w:p w:rsidR="00E62C19" w:rsidRDefault="00E62C19" w:rsidP="00377BC3">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E62C19" w:rsidRDefault="00E62C19" w:rsidP="00377BC3">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E62C19" w:rsidRDefault="00E62C19" w:rsidP="00377BC3">
            <w:pPr>
              <w:rPr>
                <w:rFonts w:ascii="Arial" w:hAnsi="Arial" w:cs="FrankRuehl"/>
                <w:sz w:val="28"/>
                <w:szCs w:val="28"/>
                <w:highlight w:val="yellow"/>
              </w:rPr>
            </w:pPr>
          </w:p>
        </w:tc>
      </w:tr>
      <w:tr w:rsidR="00E62C19" w:rsidTr="00377BC3">
        <w:tc>
          <w:tcPr>
            <w:tcW w:w="3249" w:type="dxa"/>
            <w:gridSpan w:val="2"/>
          </w:tcPr>
          <w:p w:rsidR="00E62C19" w:rsidRDefault="00E62C19" w:rsidP="00377BC3">
            <w:pPr>
              <w:bidi w:val="0"/>
              <w:jc w:val="right"/>
              <w:rPr>
                <w:rFonts w:ascii="Arial" w:hAnsi="Arial"/>
                <w:b/>
                <w:bCs/>
                <w:noProof w:val="0"/>
                <w:sz w:val="26"/>
                <w:szCs w:val="26"/>
              </w:rPr>
            </w:pPr>
          </w:p>
          <w:sdt>
            <w:sdtPr>
              <w:alias w:val="1180"/>
              <w:tag w:val="1180"/>
              <w:id w:val="2064520869"/>
              <w:text w:multiLine="1"/>
            </w:sdtPr>
            <w:sdtEndPr/>
            <w:sdtContent>
              <w:p w:rsidR="00E62C19" w:rsidRDefault="00E62C19" w:rsidP="00377BC3">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E62C19" w:rsidRDefault="00E62C19" w:rsidP="00377BC3">
            <w:pPr>
              <w:rPr>
                <w:rFonts w:ascii="Arial" w:hAnsi="Arial"/>
                <w:b/>
                <w:bCs/>
                <w:noProof w:val="0"/>
                <w:sz w:val="26"/>
                <w:szCs w:val="26"/>
              </w:rPr>
            </w:pPr>
          </w:p>
          <w:p w:rsidR="00E62C19" w:rsidRDefault="00851D94" w:rsidP="00573179">
            <w:pPr>
              <w:rPr>
                <w:rFonts w:ascii="Arial" w:hAnsi="Arial"/>
                <w:b/>
                <w:bCs/>
                <w:noProof w:val="0"/>
                <w:sz w:val="26"/>
                <w:szCs w:val="26"/>
                <w:rtl/>
              </w:rPr>
            </w:pPr>
            <w:sdt>
              <w:sdtPr>
                <w:rPr>
                  <w:rtl/>
                </w:rPr>
                <w:alias w:val="1478"/>
                <w:tag w:val="1478"/>
                <w:id w:val="-2019765730"/>
                <w:text w:multiLine="1"/>
              </w:sdtPr>
              <w:sdtEndPr/>
              <w:sdtContent>
                <w:r w:rsidR="00573179">
                  <w:rPr>
                    <w:rFonts w:ascii="Arial" w:hAnsi="Arial" w:hint="cs"/>
                    <w:b/>
                    <w:bCs/>
                    <w:noProof w:val="0"/>
                    <w:sz w:val="26"/>
                    <w:szCs w:val="26"/>
                    <w:rtl/>
                  </w:rPr>
                  <w:t>פלונית</w:t>
                </w:r>
              </w:sdtContent>
            </w:sdt>
            <w:r w:rsidR="00E62C19">
              <w:rPr>
                <w:rFonts w:ascii="Arial" w:hAnsi="Arial" w:hint="cs"/>
                <w:b/>
                <w:bCs/>
                <w:noProof w:val="0"/>
                <w:sz w:val="26"/>
                <w:szCs w:val="26"/>
                <w:rtl/>
              </w:rPr>
              <w:t xml:space="preserve"> </w:t>
            </w:r>
          </w:p>
          <w:p w:rsidR="00573179" w:rsidRPr="00573179" w:rsidRDefault="00573179" w:rsidP="00573179">
            <w:pPr>
              <w:rPr>
                <w:noProof w:val="0"/>
                <w:sz w:val="26"/>
                <w:szCs w:val="26"/>
              </w:rPr>
            </w:pPr>
            <w:r w:rsidRPr="00573179">
              <w:rPr>
                <w:rFonts w:hint="cs"/>
                <w:noProof w:val="0"/>
                <w:sz w:val="26"/>
                <w:szCs w:val="26"/>
                <w:rtl/>
              </w:rPr>
              <w:t>ע"י ב"כ עוה"ד אורי קורב ו/או עוה"ד נעמה הורן ואח'</w:t>
            </w:r>
          </w:p>
        </w:tc>
      </w:tr>
      <w:tr w:rsidR="00E62C19" w:rsidTr="00377BC3">
        <w:tc>
          <w:tcPr>
            <w:tcW w:w="8820" w:type="dxa"/>
            <w:gridSpan w:val="3"/>
          </w:tcPr>
          <w:p w:rsidR="00E62C19" w:rsidRDefault="00E62C19" w:rsidP="00377BC3">
            <w:pPr>
              <w:rPr>
                <w:rFonts w:ascii="Arial" w:hAnsi="Arial"/>
                <w:b/>
                <w:bCs/>
                <w:noProof w:val="0"/>
                <w:sz w:val="26"/>
                <w:szCs w:val="26"/>
                <w:rtl/>
              </w:rPr>
            </w:pPr>
          </w:p>
          <w:p w:rsidR="00E62C19" w:rsidRDefault="00E62C19" w:rsidP="00377BC3">
            <w:pPr>
              <w:jc w:val="center"/>
              <w:rPr>
                <w:rFonts w:ascii="Arial" w:hAnsi="Arial"/>
                <w:b/>
                <w:bCs/>
                <w:noProof w:val="0"/>
                <w:sz w:val="26"/>
                <w:szCs w:val="26"/>
                <w:rtl/>
              </w:rPr>
            </w:pPr>
            <w:r>
              <w:rPr>
                <w:rFonts w:ascii="Arial" w:hAnsi="Arial"/>
                <w:b/>
                <w:bCs/>
                <w:noProof w:val="0"/>
                <w:sz w:val="26"/>
                <w:szCs w:val="26"/>
                <w:rtl/>
              </w:rPr>
              <w:t>נגד</w:t>
            </w:r>
          </w:p>
          <w:p w:rsidR="00E62C19" w:rsidRDefault="00E62C19" w:rsidP="00377BC3">
            <w:pPr>
              <w:rPr>
                <w:rFonts w:ascii="Arial" w:hAnsi="Arial"/>
                <w:b/>
                <w:bCs/>
                <w:noProof w:val="0"/>
                <w:sz w:val="26"/>
                <w:szCs w:val="26"/>
              </w:rPr>
            </w:pPr>
          </w:p>
        </w:tc>
      </w:tr>
      <w:tr w:rsidR="00E62C19" w:rsidTr="00377BC3">
        <w:tc>
          <w:tcPr>
            <w:tcW w:w="3249" w:type="dxa"/>
            <w:gridSpan w:val="2"/>
          </w:tcPr>
          <w:p w:rsidR="00E62C19" w:rsidRDefault="00E62C19" w:rsidP="00377BC3">
            <w:pPr>
              <w:rPr>
                <w:rFonts w:ascii="Arial" w:hAnsi="Arial"/>
                <w:b/>
                <w:bCs/>
                <w:noProof w:val="0"/>
                <w:sz w:val="26"/>
                <w:szCs w:val="26"/>
                <w:rtl/>
              </w:rPr>
            </w:pPr>
          </w:p>
          <w:p w:rsidR="00E62C19" w:rsidRDefault="00851D94" w:rsidP="00377BC3">
            <w:pPr>
              <w:rPr>
                <w:rFonts w:ascii="Arial" w:hAnsi="Arial"/>
                <w:b/>
                <w:bCs/>
                <w:noProof w:val="0"/>
                <w:sz w:val="26"/>
                <w:szCs w:val="26"/>
              </w:rPr>
            </w:pPr>
            <w:sdt>
              <w:sdtPr>
                <w:rPr>
                  <w:rtl/>
                </w:rPr>
                <w:alias w:val="1184"/>
                <w:tag w:val="1184"/>
                <w:id w:val="385841288"/>
                <w:text w:multiLine="1"/>
              </w:sdtPr>
              <w:sdtEndPr/>
              <w:sdtContent>
                <w:r w:rsidR="00E62C19">
                  <w:rPr>
                    <w:rFonts w:ascii="Arial" w:hAnsi="Arial" w:hint="cs"/>
                    <w:b/>
                    <w:bCs/>
                    <w:noProof w:val="0"/>
                    <w:sz w:val="26"/>
                    <w:szCs w:val="26"/>
                    <w:rtl/>
                  </w:rPr>
                  <w:t>משיב</w:t>
                </w:r>
              </w:sdtContent>
            </w:sdt>
          </w:p>
        </w:tc>
        <w:tc>
          <w:tcPr>
            <w:tcW w:w="5571" w:type="dxa"/>
          </w:tcPr>
          <w:p w:rsidR="00E62C19" w:rsidRDefault="00E62C19" w:rsidP="00377BC3">
            <w:pPr>
              <w:rPr>
                <w:rFonts w:ascii="Arial" w:hAnsi="Arial"/>
                <w:b/>
                <w:bCs/>
                <w:noProof w:val="0"/>
                <w:sz w:val="26"/>
                <w:szCs w:val="26"/>
                <w:rtl/>
              </w:rPr>
            </w:pPr>
          </w:p>
          <w:p w:rsidR="00E62C19" w:rsidRDefault="00573179" w:rsidP="00573179">
            <w:pPr>
              <w:rPr>
                <w:rFonts w:ascii="Arial" w:hAnsi="Arial"/>
                <w:b/>
                <w:bCs/>
                <w:noProof w:val="0"/>
                <w:sz w:val="26"/>
                <w:szCs w:val="26"/>
                <w:rtl/>
              </w:rPr>
            </w:pPr>
            <w:r>
              <w:rPr>
                <w:rFonts w:ascii="Arial" w:hAnsi="Arial" w:hint="cs"/>
                <w:b/>
                <w:bCs/>
                <w:noProof w:val="0"/>
                <w:sz w:val="26"/>
                <w:szCs w:val="26"/>
                <w:rtl/>
              </w:rPr>
              <w:t>פלוני</w:t>
            </w:r>
          </w:p>
          <w:p w:rsidR="00573179" w:rsidRPr="00573179" w:rsidRDefault="00573179" w:rsidP="00573179">
            <w:pPr>
              <w:rPr>
                <w:noProof w:val="0"/>
                <w:sz w:val="26"/>
                <w:szCs w:val="26"/>
                <w:rtl/>
              </w:rPr>
            </w:pPr>
            <w:r w:rsidRPr="00573179">
              <w:rPr>
                <w:rFonts w:hint="cs"/>
                <w:noProof w:val="0"/>
                <w:sz w:val="26"/>
                <w:szCs w:val="26"/>
                <w:rtl/>
              </w:rPr>
              <w:t>ע"י ב"כ עוה"ד אביבית מוסקוביץ ואח'</w:t>
            </w:r>
          </w:p>
        </w:tc>
      </w:tr>
      <w:tr w:rsidR="00E62C19" w:rsidTr="00377BC3">
        <w:tc>
          <w:tcPr>
            <w:tcW w:w="8820" w:type="dxa"/>
            <w:gridSpan w:val="3"/>
          </w:tcPr>
          <w:p w:rsidR="00E62C19" w:rsidRDefault="00E62C19" w:rsidP="00377BC3">
            <w:pPr>
              <w:rPr>
                <w:b/>
                <w:bCs/>
                <w:sz w:val="26"/>
                <w:szCs w:val="26"/>
              </w:rPr>
            </w:pPr>
          </w:p>
          <w:p w:rsidR="00E62C19" w:rsidRDefault="00E62C19" w:rsidP="00377BC3">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62C19" w:rsidRPr="00347694" w:rsidTr="00377BC3">
        <w:trPr>
          <w:jc w:val="center"/>
        </w:trPr>
        <w:tc>
          <w:tcPr>
            <w:tcW w:w="8820" w:type="dxa"/>
          </w:tcPr>
          <w:p w:rsidR="00E62C19" w:rsidRPr="00347694" w:rsidRDefault="00E62C19" w:rsidP="00377BC3">
            <w:pPr>
              <w:bidi w:val="0"/>
              <w:jc w:val="center"/>
              <w:rPr>
                <w:rFonts w:ascii="Arial" w:hAnsi="Arial"/>
                <w:b/>
                <w:bCs/>
                <w:i/>
                <w:iCs/>
                <w:noProof w:val="0"/>
                <w:sz w:val="36"/>
                <w:szCs w:val="36"/>
              </w:rPr>
            </w:pPr>
          </w:p>
          <w:p w:rsidR="00E62C19" w:rsidRPr="00347694" w:rsidRDefault="00E62C19" w:rsidP="00377BC3">
            <w:pPr>
              <w:bidi w:val="0"/>
              <w:jc w:val="center"/>
              <w:rPr>
                <w:rFonts w:ascii="Arial" w:hAnsi="Arial"/>
                <w:b/>
                <w:bCs/>
                <w:i/>
                <w:iCs/>
                <w:noProof w:val="0"/>
                <w:sz w:val="36"/>
                <w:szCs w:val="36"/>
                <w:u w:val="single"/>
              </w:rPr>
            </w:pPr>
            <w:r w:rsidRPr="00347694">
              <w:rPr>
                <w:rFonts w:ascii="Arial" w:hAnsi="Arial" w:hint="cs"/>
                <w:b/>
                <w:bCs/>
                <w:i/>
                <w:iCs/>
                <w:noProof w:val="0"/>
                <w:sz w:val="36"/>
                <w:szCs w:val="36"/>
                <w:u w:val="single"/>
                <w:rtl/>
              </w:rPr>
              <w:t>החלטה</w:t>
            </w:r>
          </w:p>
        </w:tc>
      </w:tr>
    </w:tbl>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color w:val="000000"/>
        </w:rPr>
      </w:pPr>
      <w:r>
        <w:rPr>
          <w:rFonts w:ascii="David" w:hAnsi="David"/>
          <w:rtl/>
        </w:rPr>
        <w:t xml:space="preserve">לפניי </w:t>
      </w:r>
      <w:r>
        <w:rPr>
          <w:rFonts w:ascii="David" w:hAnsi="David"/>
          <w:color w:val="000000"/>
          <w:rtl/>
        </w:rPr>
        <w:t>שתי בקשות שהוגשו על-ידי המבקשת במסגרת הליך העוסק בחלוקת רכוש שנצבר על-ידי הצדדים במהלך חיי הנישואין:</w:t>
      </w:r>
    </w:p>
    <w:p w:rsidR="00E62C19" w:rsidRDefault="00E62C19" w:rsidP="00E62C19">
      <w:pPr>
        <w:spacing w:line="360" w:lineRule="auto"/>
        <w:jc w:val="both"/>
        <w:rPr>
          <w:rFonts w:ascii="David" w:hAnsi="David"/>
          <w:color w:val="000000"/>
          <w:rtl/>
        </w:rPr>
      </w:pPr>
    </w:p>
    <w:p w:rsidR="00E62C19" w:rsidRDefault="00E62C19" w:rsidP="00E62C19">
      <w:pPr>
        <w:spacing w:line="360" w:lineRule="auto"/>
        <w:jc w:val="both"/>
        <w:rPr>
          <w:rFonts w:ascii="David" w:hAnsi="David"/>
          <w:color w:val="000000"/>
          <w:rtl/>
        </w:rPr>
      </w:pPr>
      <w:r w:rsidRPr="00347694">
        <w:rPr>
          <w:rFonts w:ascii="David" w:hAnsi="David"/>
          <w:color w:val="000000"/>
          <w:u w:val="single"/>
          <w:rtl/>
        </w:rPr>
        <w:t>הראשונה</w:t>
      </w:r>
      <w:r>
        <w:rPr>
          <w:rFonts w:ascii="David" w:hAnsi="David"/>
          <w:color w:val="000000"/>
          <w:rtl/>
        </w:rPr>
        <w:t xml:space="preserve"> – בקשה לפירוק שיתוף מיידי בדירת מגורי הצדדים (להלן: "</w:t>
      </w:r>
      <w:r>
        <w:rPr>
          <w:rFonts w:ascii="David" w:hAnsi="David"/>
          <w:b/>
          <w:bCs/>
          <w:color w:val="000000"/>
          <w:rtl/>
        </w:rPr>
        <w:t>הבקשה לפירוק שיתוף</w:t>
      </w:r>
      <w:r>
        <w:rPr>
          <w:rFonts w:ascii="David" w:hAnsi="David"/>
          <w:color w:val="000000"/>
          <w:rtl/>
        </w:rPr>
        <w:t>");</w:t>
      </w:r>
    </w:p>
    <w:p w:rsidR="00E62C19" w:rsidRDefault="00E62C19" w:rsidP="00E62C19">
      <w:pPr>
        <w:spacing w:line="360" w:lineRule="auto"/>
        <w:jc w:val="both"/>
        <w:rPr>
          <w:rFonts w:ascii="David" w:hAnsi="David"/>
          <w:color w:val="000000"/>
          <w:rtl/>
        </w:rPr>
      </w:pPr>
    </w:p>
    <w:p w:rsidR="00E62C19" w:rsidRDefault="00E62C19" w:rsidP="00E62C19">
      <w:pPr>
        <w:spacing w:line="360" w:lineRule="auto"/>
        <w:jc w:val="both"/>
        <w:rPr>
          <w:rFonts w:ascii="David" w:hAnsi="David"/>
          <w:rtl/>
        </w:rPr>
      </w:pPr>
      <w:r w:rsidRPr="00347694">
        <w:rPr>
          <w:rFonts w:ascii="David" w:hAnsi="David"/>
          <w:color w:val="000000"/>
          <w:u w:val="single"/>
          <w:rtl/>
        </w:rPr>
        <w:t>השנייה</w:t>
      </w:r>
      <w:r>
        <w:rPr>
          <w:rFonts w:ascii="David" w:hAnsi="David"/>
          <w:color w:val="000000"/>
          <w:rtl/>
        </w:rPr>
        <w:t xml:space="preserve"> – בקשה לחלוקת כספים על חשבון האיזון הרכושי (להלן: "</w:t>
      </w:r>
      <w:r>
        <w:rPr>
          <w:rFonts w:ascii="David" w:hAnsi="David"/>
          <w:b/>
          <w:bCs/>
          <w:color w:val="000000"/>
          <w:rtl/>
        </w:rPr>
        <w:t>הבקשה לחלוקת כספים</w:t>
      </w:r>
      <w:r>
        <w:rPr>
          <w:rFonts w:ascii="David" w:hAnsi="David"/>
          <w:color w:val="000000"/>
          <w:rtl/>
        </w:rPr>
        <w:t>").</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b/>
          <w:bCs/>
          <w:u w:val="single"/>
          <w:rtl/>
        </w:rPr>
      </w:pPr>
      <w:r>
        <w:rPr>
          <w:rFonts w:ascii="David" w:hAnsi="David"/>
          <w:b/>
          <w:bCs/>
          <w:u w:val="single"/>
          <w:rtl/>
        </w:rPr>
        <w:t xml:space="preserve">רקע עובדתי רלוונטי </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המבקשת והמשיב (להלן: "</w:t>
      </w:r>
      <w:r>
        <w:rPr>
          <w:rFonts w:ascii="David" w:hAnsi="David"/>
          <w:b/>
          <w:bCs/>
          <w:rtl/>
        </w:rPr>
        <w:t>הצדדים</w:t>
      </w:r>
      <w:r>
        <w:rPr>
          <w:rFonts w:ascii="David" w:hAnsi="David"/>
          <w:rtl/>
        </w:rPr>
        <w:t>") נישאו זל"ז בשנת 1996 ונולדו להם 8 ילדים.</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ביום 10.2.22 הגיש המשיב לבית הדין הרבני תביעת גירושין כרוכה.</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ביום 31.3.22 עזב המשיב את דירת המגורים המשותפת (להלן: "</w:t>
      </w:r>
      <w:r>
        <w:rPr>
          <w:rFonts w:ascii="David" w:hAnsi="David"/>
          <w:b/>
          <w:bCs/>
          <w:rtl/>
        </w:rPr>
        <w:t>הדירה</w:t>
      </w:r>
      <w:r>
        <w:rPr>
          <w:rFonts w:ascii="David" w:hAnsi="David"/>
          <w:rtl/>
        </w:rPr>
        <w:t>") ואילו המבקשת המשיכה להתגרר בה.</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ביום 21.10.22 ניתן על-ידי בית הדין הרבני פסק דין הקובע את מועד הקרע ואת אופן חלוקת הרכוש בין הצדדים בחלקים שווים (להלן: "</w:t>
      </w:r>
      <w:r>
        <w:rPr>
          <w:rFonts w:ascii="David" w:hAnsi="David"/>
          <w:b/>
          <w:bCs/>
          <w:rtl/>
        </w:rPr>
        <w:t>פסק הדין</w:t>
      </w:r>
      <w:r>
        <w:rPr>
          <w:rFonts w:ascii="David" w:hAnsi="David"/>
          <w:rtl/>
        </w:rPr>
        <w:t>"). על פסק הדין הוגש ערעור וערעור שכנגד והערעורים עומדים ותלויים בבית הדין הרבני הגדול.</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ביום 21.5.23 הגישה המבקשת תובענה לביצוע פסק הדין (בהמשך להחלטת בית הדין במסגרתה נקבע, בין היתר, כי בית הדין אינו מוסמך לדון בענייני הרכוש של הצדדים, ובית הדין הורה על העברת הליכים הרכושיים לבית משפט זה) וביום 25.12.23 מונה מומחה מטעם בית המשפט עם סמכויות חקירה (להלן: "</w:t>
      </w:r>
      <w:r>
        <w:rPr>
          <w:rFonts w:ascii="David" w:hAnsi="David"/>
          <w:b/>
          <w:bCs/>
          <w:rtl/>
        </w:rPr>
        <w:t>המומחה</w:t>
      </w:r>
      <w:r>
        <w:rPr>
          <w:rFonts w:ascii="David" w:hAnsi="David"/>
          <w:rtl/>
        </w:rPr>
        <w:t xml:space="preserve">"). </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ביום 16.4.24 המומחה ביקש למנות שמאי מקרקעין ל-18 נכסי נדל"ן שהמשיב הודה בזכויותיו בהם וחוות הדעת השמאית צפויה להינתן בתוך 60 ימים.</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המשיב מתנגד לשתי הבקשות, מהנימוקים, המפורטים בתגובותיו.</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b/>
          <w:bCs/>
          <w:u w:val="single"/>
          <w:rtl/>
        </w:rPr>
      </w:pPr>
      <w:r>
        <w:rPr>
          <w:rFonts w:ascii="David" w:hAnsi="David"/>
          <w:b/>
          <w:bCs/>
          <w:u w:val="single"/>
          <w:rtl/>
        </w:rPr>
        <w:t>הערה</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בשל דמיון בטענות הצדדים בשתי הבקשות והתגובות, שתי הבקשות יידונו ויוכרעו במשותף במסגרת החלטה זו.</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b/>
          <w:bCs/>
          <w:u w:val="single"/>
          <w:rtl/>
        </w:rPr>
      </w:pPr>
      <w:r>
        <w:rPr>
          <w:rFonts w:ascii="David" w:hAnsi="David"/>
          <w:b/>
          <w:bCs/>
          <w:u w:val="single"/>
          <w:rtl/>
        </w:rPr>
        <w:t>הכרעה</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לאחר עיון בעמדות הצדדים, הגעתי למסקנה כי דין שתי הבקשות להידחות.</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noProof w:val="0"/>
          <w:rtl/>
        </w:rPr>
      </w:pPr>
      <w:r>
        <w:rPr>
          <w:rFonts w:ascii="David" w:hAnsi="David"/>
          <w:u w:val="single"/>
          <w:rtl/>
        </w:rPr>
        <w:t>ביחס לפירוק השיתוף בדירה</w:t>
      </w:r>
      <w:r>
        <w:rPr>
          <w:rFonts w:ascii="David" w:hAnsi="David"/>
          <w:rtl/>
        </w:rPr>
        <w:t xml:space="preserve"> – חרף הוראת ס' 37 לחוק המקרקעין, התשכ"ט–1969 (להלן: "</w:t>
      </w:r>
      <w:r>
        <w:rPr>
          <w:rFonts w:ascii="David" w:hAnsi="David"/>
          <w:b/>
          <w:bCs/>
          <w:rtl/>
        </w:rPr>
        <w:t>חוק המקרקעין</w:t>
      </w:r>
      <w:r>
        <w:rPr>
          <w:rFonts w:ascii="David" w:hAnsi="David"/>
          <w:rtl/>
        </w:rPr>
        <w:t>") הקובע כי "</w:t>
      </w:r>
      <w:r>
        <w:rPr>
          <w:rFonts w:ascii="David" w:hAnsi="David"/>
          <w:b/>
          <w:bCs/>
          <w:rtl/>
        </w:rPr>
        <w:t>כל שותף במקרקעין משותפים זכאי בכל עת לדרוש פירוק השיתוף</w:t>
      </w:r>
      <w:r>
        <w:rPr>
          <w:rFonts w:ascii="David" w:hAnsi="David"/>
          <w:rtl/>
        </w:rPr>
        <w:t xml:space="preserve">", </w:t>
      </w:r>
      <w:r>
        <w:rPr>
          <w:rFonts w:ascii="David" w:hAnsi="David"/>
          <w:noProof w:val="0"/>
          <w:rtl/>
        </w:rPr>
        <w:t>בני זוג שהם בעלים של נכס מקרקעין במשותף מכוח נישואיהם, ובפרט נכס המשמש למגורי המשפחה, אינם נתפסים כשותפים "רגילים" במקרקעין</w:t>
      </w:r>
      <w:r>
        <w:rPr>
          <w:rFonts w:ascii="David" w:hAnsi="David"/>
          <w:rtl/>
        </w:rPr>
        <w:t xml:space="preserve"> </w:t>
      </w:r>
      <w:r>
        <w:rPr>
          <w:rFonts w:ascii="David" w:hAnsi="David"/>
          <w:noProof w:val="0"/>
          <w:rtl/>
        </w:rPr>
        <w:t xml:space="preserve">ואף שהזכות המעוגנת </w:t>
      </w:r>
      <w:r>
        <w:rPr>
          <w:rFonts w:ascii="David" w:hAnsi="David"/>
          <w:b/>
          <w:bCs/>
          <w:noProof w:val="0"/>
          <w:rtl/>
        </w:rPr>
        <w:t>בסעיף 37 לחוק המקרקעין</w:t>
      </w:r>
      <w:r>
        <w:rPr>
          <w:rFonts w:ascii="David" w:hAnsi="David"/>
          <w:noProof w:val="0"/>
          <w:rtl/>
        </w:rPr>
        <w:t>, אינה פוסחת עליהם, לעיתים, וככל שדבר נוגע לעיתוי פירוק השיתוף, יכול שהוא ייסוג מפני שיקולים נוספים הקשורים בהסדרים הכלכליים ביניהם ונובעים, בין היתר, מהוראות חוק יחסי ממון בין בני זוג, התשל"ג–1973 (להלן: "</w:t>
      </w:r>
      <w:r>
        <w:rPr>
          <w:rFonts w:ascii="David" w:hAnsi="David"/>
          <w:b/>
          <w:bCs/>
          <w:noProof w:val="0"/>
          <w:rtl/>
        </w:rPr>
        <w:t>חוק יחסי ממון</w:t>
      </w:r>
      <w:r>
        <w:rPr>
          <w:rFonts w:ascii="David" w:hAnsi="David"/>
          <w:noProof w:val="0"/>
          <w:rtl/>
        </w:rPr>
        <w:t xml:space="preserve">") ומשיקולי צדק, שוויון וערכים חוקתיים נוספים </w:t>
      </w:r>
      <w:r>
        <w:rPr>
          <w:rFonts w:ascii="David" w:hAnsi="David"/>
          <w:b/>
          <w:bCs/>
          <w:noProof w:val="0"/>
          <w:rtl/>
        </w:rPr>
        <w:t>ראו</w:t>
      </w:r>
      <w:r>
        <w:rPr>
          <w:rFonts w:ascii="David" w:hAnsi="David"/>
          <w:noProof w:val="0"/>
          <w:rtl/>
        </w:rPr>
        <w:t xml:space="preserve">: רמ"ש 15610-06-23 </w:t>
      </w:r>
      <w:r>
        <w:rPr>
          <w:rFonts w:ascii="David" w:hAnsi="David"/>
          <w:b/>
          <w:bCs/>
          <w:noProof w:val="0"/>
          <w:rtl/>
        </w:rPr>
        <w:t>פלוני נ' אלמונית</w:t>
      </w:r>
      <w:r>
        <w:rPr>
          <w:rFonts w:ascii="David" w:hAnsi="David"/>
          <w:noProof w:val="0"/>
          <w:rtl/>
        </w:rPr>
        <w:t xml:space="preserve"> (27.7.2023).</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 xml:space="preserve">בתוך כך, ברע"א 4358/01‏ </w:t>
      </w:r>
      <w:r>
        <w:rPr>
          <w:rFonts w:ascii="David" w:hAnsi="David"/>
          <w:b/>
          <w:bCs/>
          <w:rtl/>
        </w:rPr>
        <w:t>בר-אל נ' בר-אל</w:t>
      </w:r>
      <w:r>
        <w:rPr>
          <w:rFonts w:ascii="David" w:hAnsi="David"/>
          <w:rtl/>
        </w:rPr>
        <w:t>, פ''ד נה(5) 856 (2001) נפסק כי:</w:t>
      </w:r>
    </w:p>
    <w:p w:rsidR="00E62C19" w:rsidRDefault="00E62C19" w:rsidP="00E62C19">
      <w:pPr>
        <w:spacing w:line="360" w:lineRule="auto"/>
        <w:jc w:val="both"/>
        <w:rPr>
          <w:rFonts w:ascii="David" w:hAnsi="David"/>
          <w:rtl/>
        </w:rPr>
      </w:pPr>
    </w:p>
    <w:p w:rsidR="00E62C19" w:rsidRDefault="00E62C19" w:rsidP="00E62C19">
      <w:pPr>
        <w:spacing w:after="120" w:line="360" w:lineRule="auto"/>
        <w:ind w:left="566" w:right="567"/>
        <w:jc w:val="both"/>
        <w:rPr>
          <w:rFonts w:ascii="David" w:hAnsi="David"/>
          <w:i/>
          <w:iCs/>
          <w:noProof w:val="0"/>
          <w:rtl/>
        </w:rPr>
      </w:pPr>
      <w:r>
        <w:rPr>
          <w:rFonts w:ascii="David" w:hAnsi="David"/>
          <w:i/>
          <w:iCs/>
          <w:noProof w:val="0"/>
          <w:rtl/>
        </w:rPr>
        <w:lastRenderedPageBreak/>
        <w:t>"הגישה הראויה הינה כי יש לאפשר לבית-המשפט מרווח של גמישות דיונית בבואו להכריע בדבר הדרך הטובה ביותר לפתרון הסכסוך בין המתדיינים בפניו. מכאן המסקנה כי בית-המשפט לענייני משפחה יכול בנסיבות המתאימות לעכב את ההוראה על פירוק השיתוף בדירת המגורים בין בני-הזוג אם ברצונו להגיע למצב שבו כל עניינם של בני-הזוג יוסדר באופן כולל".</w:t>
      </w:r>
    </w:p>
    <w:p w:rsidR="00E62C19" w:rsidRDefault="00E62C19" w:rsidP="00E62C19">
      <w:pPr>
        <w:spacing w:after="120" w:line="360" w:lineRule="auto"/>
        <w:ind w:left="566" w:right="567"/>
        <w:jc w:val="both"/>
        <w:rPr>
          <w:rFonts w:ascii="David" w:hAnsi="David"/>
          <w:noProof w:val="0"/>
          <w:rtl/>
        </w:rPr>
      </w:pPr>
      <w:r>
        <w:rPr>
          <w:rFonts w:ascii="David" w:hAnsi="David"/>
          <w:b/>
          <w:bCs/>
          <w:noProof w:val="0"/>
          <w:rtl/>
        </w:rPr>
        <w:t>ראו גם</w:t>
      </w:r>
      <w:r>
        <w:rPr>
          <w:rFonts w:ascii="David" w:hAnsi="David"/>
          <w:noProof w:val="0"/>
          <w:rtl/>
        </w:rPr>
        <w:t xml:space="preserve">: בע"מ 8837/06 </w:t>
      </w:r>
      <w:r>
        <w:rPr>
          <w:rFonts w:ascii="David" w:hAnsi="David"/>
          <w:b/>
          <w:bCs/>
          <w:noProof w:val="0"/>
          <w:rtl/>
        </w:rPr>
        <w:t>פלוני נ' פלוני</w:t>
      </w:r>
      <w:r>
        <w:rPr>
          <w:rFonts w:ascii="David" w:hAnsi="David"/>
          <w:noProof w:val="0"/>
          <w:rtl/>
        </w:rPr>
        <w:t xml:space="preserve"> (7.6.2007); </w:t>
      </w:r>
    </w:p>
    <w:p w:rsidR="00E62C19" w:rsidRDefault="00E62C19" w:rsidP="00E62C19">
      <w:pPr>
        <w:spacing w:after="120" w:line="360" w:lineRule="auto"/>
        <w:ind w:left="1286" w:right="567" w:hanging="12"/>
        <w:jc w:val="both"/>
        <w:rPr>
          <w:rFonts w:ascii="David" w:hAnsi="David"/>
          <w:noProof w:val="0"/>
          <w:rtl/>
        </w:rPr>
      </w:pPr>
      <w:r>
        <w:rPr>
          <w:rFonts w:ascii="David" w:hAnsi="David"/>
          <w:noProof w:val="0"/>
          <w:rtl/>
        </w:rPr>
        <w:t>רמ"ש 11535-11-23</w:t>
      </w:r>
      <w:r>
        <w:rPr>
          <w:rFonts w:ascii="David" w:hAnsi="David"/>
          <w:b/>
          <w:bCs/>
          <w:noProof w:val="0"/>
          <w:rtl/>
        </w:rPr>
        <w:t xml:space="preserve"> פ' נ' פ'</w:t>
      </w:r>
      <w:r>
        <w:rPr>
          <w:rFonts w:ascii="David" w:hAnsi="David"/>
          <w:noProof w:val="0"/>
          <w:rtl/>
        </w:rPr>
        <w:t xml:space="preserve"> (7.11.2023).</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u w:val="single"/>
          <w:rtl/>
        </w:rPr>
        <w:t>ביחס לאיזון משאבים חלקי</w:t>
      </w:r>
      <w:r>
        <w:rPr>
          <w:rFonts w:ascii="David" w:hAnsi="David"/>
          <w:rtl/>
        </w:rPr>
        <w:t xml:space="preserve"> – ההלכה הפסוקה הינה כי ככלל יש להימנע מביצוע איזון המשאבים </w:t>
      </w:r>
      <w:r w:rsidRPr="00347694">
        <w:rPr>
          <w:rFonts w:ascii="David" w:hAnsi="David"/>
          <w:rtl/>
        </w:rPr>
        <w:t xml:space="preserve">בשלבים, בהינתן כי עמדת המחוקק ותכלית </w:t>
      </w:r>
      <w:r w:rsidRPr="00C20353">
        <w:rPr>
          <w:rFonts w:ascii="David" w:hAnsi="David" w:hint="cs"/>
          <w:rtl/>
        </w:rPr>
        <w:t>חוק יחסי ממון</w:t>
      </w:r>
      <w:r w:rsidRPr="00347694">
        <w:rPr>
          <w:rFonts w:ascii="David" w:hAnsi="David" w:hint="cs"/>
          <w:rtl/>
        </w:rPr>
        <w:t xml:space="preserve"> ברורה – איזון בכלל הנכסים שיש להביא </w:t>
      </w:r>
      <w:r>
        <w:rPr>
          <w:rFonts w:ascii="David" w:hAnsi="David" w:hint="cs"/>
          <w:rtl/>
        </w:rPr>
        <w:t xml:space="preserve">בגדרו </w:t>
      </w:r>
      <w:r>
        <w:rPr>
          <w:rFonts w:ascii="David" w:hAnsi="David" w:hint="cs"/>
          <w:b/>
          <w:bCs/>
          <w:rtl/>
        </w:rPr>
        <w:t>ראו</w:t>
      </w:r>
      <w:r>
        <w:rPr>
          <w:rFonts w:ascii="David" w:hAnsi="David" w:hint="cs"/>
          <w:rtl/>
        </w:rPr>
        <w:t xml:space="preserve">: ע"א 1229/90 </w:t>
      </w:r>
      <w:r>
        <w:rPr>
          <w:rFonts w:ascii="David" w:hAnsi="David" w:hint="cs"/>
          <w:b/>
          <w:bCs/>
          <w:rtl/>
        </w:rPr>
        <w:t>חנוך נ' חנוך</w:t>
      </w:r>
      <w:r>
        <w:rPr>
          <w:rFonts w:ascii="David" w:hAnsi="David" w:hint="cs"/>
          <w:rtl/>
        </w:rPr>
        <w:t xml:space="preserve">, פ"ד מה(5) 584 (1991), </w:t>
      </w:r>
      <w:r>
        <w:rPr>
          <w:rFonts w:ascii="David" w:hAnsi="David"/>
          <w:noProof w:val="0"/>
          <w:rtl/>
        </w:rPr>
        <w:t xml:space="preserve">רמ"ש 28221-09-23 </w:t>
      </w:r>
      <w:r>
        <w:rPr>
          <w:rFonts w:ascii="David" w:hAnsi="David"/>
          <w:b/>
          <w:bCs/>
          <w:noProof w:val="0"/>
          <w:rtl/>
        </w:rPr>
        <w:t>פלונית נ' אלמוני</w:t>
      </w:r>
      <w:r>
        <w:rPr>
          <w:rFonts w:ascii="David" w:hAnsi="David"/>
          <w:rtl/>
        </w:rPr>
        <w:t xml:space="preserve"> (14.11.2023).</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 xml:space="preserve">במילים אחרות, בהליכים בין בני זוג, ככלל, למעט מקרים מסוימים, יש לשאוף להגיע להסדר כולל וסופי של מערכת היחסים הכלכלית בין הצדדים </w:t>
      </w:r>
      <w:r>
        <w:rPr>
          <w:rFonts w:ascii="David" w:hAnsi="David"/>
          <w:b/>
          <w:bCs/>
          <w:rtl/>
        </w:rPr>
        <w:t>ראו</w:t>
      </w:r>
      <w:r>
        <w:rPr>
          <w:rFonts w:ascii="David" w:hAnsi="David"/>
          <w:rtl/>
        </w:rPr>
        <w:t xml:space="preserve">: </w:t>
      </w:r>
      <w:r>
        <w:rPr>
          <w:rFonts w:ascii="David" w:hAnsi="David"/>
          <w:noProof w:val="0"/>
          <w:rtl/>
        </w:rPr>
        <w:t xml:space="preserve">עמ"ש 16912-08-20 </w:t>
      </w:r>
      <w:r>
        <w:rPr>
          <w:rFonts w:ascii="David" w:hAnsi="David"/>
          <w:b/>
          <w:bCs/>
          <w:rtl/>
        </w:rPr>
        <w:t>מ.ר. נ' ר.ר.</w:t>
      </w:r>
      <w:r>
        <w:rPr>
          <w:rFonts w:ascii="David" w:hAnsi="David"/>
          <w:rtl/>
        </w:rPr>
        <w:t xml:space="preserve"> (10.5.2021). </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רוצה לומר כי על-מנת "לזכות" בפירוק שיתוף מיידי וקבלת כספים על חשבון איזון המשאבים הכולל, על המבקש ליתן טעם ממשי לכך.</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 xml:space="preserve">הטעם המרכזי בשתי הבקשות לקבלת הסעדים המבוקשים בהן, הינו מצבה הכלכלי הקשה הנטען של המבקשת וחובות, אשר רובצים לפתחה. ואולם, המבקשת לא צירפה כל אסמתה למי מבקשותיה בתמיכה למצבה הכלכלי הנטען או בתמיכה לחובות הנטענים. </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 xml:space="preserve">המבקשת אף ציינה "ברחל בתך הקטנה" כי "מסמכים לביסוס האמור לא צורפו בשלב זה לבקשה על מנת לשמור על צנעת הפרט של המבקשת ושל הגורמים הממנים. ואולם, ככל שיידרש, מסמכים אלה יוגשו לעיונו של בית המשפט הנכבד" </w:t>
      </w:r>
      <w:r>
        <w:rPr>
          <w:rFonts w:ascii="David" w:hAnsi="David"/>
          <w:b/>
          <w:bCs/>
          <w:rtl/>
        </w:rPr>
        <w:t>ראו: ס' 31 לבקשה לפירוק שיתוף וס' 29 לבקשה לחלוקת כספים</w:t>
      </w:r>
      <w:r>
        <w:rPr>
          <w:rFonts w:ascii="David" w:hAnsi="David"/>
          <w:rtl/>
        </w:rPr>
        <w:t>. לא זו בלבד שעתירה זו איננה מתיישבת עם הוראת תקנה 50 (1) לתקנות סדר הדין האזרחי, התשע"ט–2018 (להלן: "</w:t>
      </w:r>
      <w:r>
        <w:rPr>
          <w:rFonts w:ascii="David" w:hAnsi="David"/>
          <w:b/>
          <w:bCs/>
          <w:rtl/>
        </w:rPr>
        <w:t>התקנות</w:t>
      </w:r>
      <w:r>
        <w:rPr>
          <w:rFonts w:ascii="David" w:hAnsi="David"/>
          <w:rtl/>
        </w:rPr>
        <w:t>") אשר לפיה בבקשה בכתב "</w:t>
      </w:r>
      <w:r>
        <w:rPr>
          <w:rFonts w:ascii="David" w:hAnsi="David"/>
          <w:b/>
          <w:bCs/>
          <w:rtl/>
        </w:rPr>
        <w:t>המבקש יפרט את טיעוניו כולל אסמכתאות</w:t>
      </w:r>
      <w:r>
        <w:rPr>
          <w:rFonts w:ascii="David" w:hAnsi="David"/>
          <w:rtl/>
        </w:rPr>
        <w:t xml:space="preserve">", אלא שהליך במסגרתו מעביר בעל דין מסמכים לעיונו של בית המשפט בלבד אינו קיים בדין, בפרט בהליכים המתנהלים בבית המשפט לענייני משפחה בהם קיימת </w:t>
      </w:r>
      <w:r>
        <w:rPr>
          <w:rFonts w:ascii="David" w:hAnsi="David"/>
          <w:noProof w:val="0"/>
          <w:rtl/>
        </w:rPr>
        <w:t xml:space="preserve">שקיפות רבה יותר מאשר הליך </w:t>
      </w:r>
      <w:r>
        <w:rPr>
          <w:rFonts w:ascii="David" w:hAnsi="David"/>
          <w:rtl/>
        </w:rPr>
        <w:t xml:space="preserve">אזרחי רגיל </w:t>
      </w:r>
      <w:r>
        <w:rPr>
          <w:rFonts w:ascii="David" w:hAnsi="David"/>
          <w:b/>
          <w:bCs/>
          <w:rtl/>
        </w:rPr>
        <w:t>ראו</w:t>
      </w:r>
      <w:r>
        <w:rPr>
          <w:rFonts w:ascii="David" w:hAnsi="David"/>
          <w:rtl/>
        </w:rPr>
        <w:t xml:space="preserve">: בע"מ 8339/06 </w:t>
      </w:r>
      <w:r>
        <w:rPr>
          <w:rFonts w:ascii="David" w:hAnsi="David"/>
          <w:b/>
          <w:bCs/>
          <w:rtl/>
        </w:rPr>
        <w:t>פלוני נ' פלונית</w:t>
      </w:r>
      <w:r>
        <w:rPr>
          <w:rFonts w:ascii="David" w:hAnsi="David"/>
          <w:rtl/>
        </w:rPr>
        <w:t xml:space="preserve"> (4.1.2007); רמ"ש 5525-11-21 </w:t>
      </w:r>
      <w:r>
        <w:rPr>
          <w:rFonts w:ascii="David" w:hAnsi="David"/>
          <w:b/>
          <w:bCs/>
          <w:rtl/>
        </w:rPr>
        <w:t>פלונית נ' פלוני</w:t>
      </w:r>
      <w:r>
        <w:rPr>
          <w:rFonts w:ascii="David" w:hAnsi="David"/>
          <w:rtl/>
        </w:rPr>
        <w:t xml:space="preserve"> (4.1.2022).</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 xml:space="preserve">זאת ועוד, גם אם נכונה טענת המבקשת כי ההליך צפוי להמשך עוד זמן רב </w:t>
      </w:r>
      <w:r>
        <w:rPr>
          <w:rFonts w:ascii="David" w:hAnsi="David"/>
          <w:b/>
          <w:bCs/>
          <w:rtl/>
        </w:rPr>
        <w:t>ראו: 8 לבקשה לפירוק שיתוף וס' 5 לבקשה לחלוקת כספים</w:t>
      </w:r>
      <w:r>
        <w:rPr>
          <w:rFonts w:ascii="David" w:hAnsi="David"/>
          <w:rtl/>
        </w:rPr>
        <w:t xml:space="preserve"> – ואיני קובע כי כך הוא הדבר בשים לב לעובדה כי מלאכת חוות הדעת נמצאת בעיצומה – לא ניתן לבוא ולומר כי אין אופק לסיום ההליך. להפך, ישנו מועד להגשת חוות הדעת השמאית והחומרים הנדרשים לצורך השלמת חוות הדעת נמסרו למומחה.</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טענת המבקשת כי אין לה מקור הכנסה זמין לא הוכחה על ידה בדרך כלשהי ומצופה היה כי יצורפו תדפיסי חשבון בנק לתמיכה בטענה זו כאשר לא יכולה להיות מחלוקת כי צירוף התדפיסים, אינו פוגע בדרך כלשהי בצנעת הפרט של המבקשת.</w:t>
      </w:r>
    </w:p>
    <w:p w:rsidR="00E62C19" w:rsidRDefault="00E62C19" w:rsidP="00E62C19">
      <w:pPr>
        <w:spacing w:line="360" w:lineRule="auto"/>
        <w:jc w:val="both"/>
        <w:rPr>
          <w:rFonts w:ascii="David" w:hAnsi="David"/>
          <w:rtl/>
        </w:rPr>
      </w:pPr>
    </w:p>
    <w:p w:rsidR="00E62C19" w:rsidRDefault="00E62C19" w:rsidP="00C20353">
      <w:pPr>
        <w:spacing w:line="360" w:lineRule="auto"/>
        <w:jc w:val="both"/>
        <w:rPr>
          <w:rFonts w:ascii="David" w:hAnsi="David"/>
          <w:rtl/>
        </w:rPr>
      </w:pPr>
      <w:r>
        <w:rPr>
          <w:rFonts w:ascii="David" w:hAnsi="David"/>
          <w:rtl/>
        </w:rPr>
        <w:t xml:space="preserve">טענת המבקשת כי הדירה נמצאת בשכונה </w:t>
      </w:r>
      <w:r w:rsidR="00C20353">
        <w:rPr>
          <w:rFonts w:ascii="David" w:hAnsi="David" w:hint="cs"/>
          <w:rtl/>
        </w:rPr>
        <w:t>***</w:t>
      </w:r>
      <w:r>
        <w:rPr>
          <w:rFonts w:ascii="David" w:hAnsi="David"/>
          <w:rtl/>
        </w:rPr>
        <w:t xml:space="preserve"> בה מתגוררת קהילה אותה עזבה המבקשת לאחר הגירושין והמבקשת סובלת מחדירה לפרטיותה, לא הוכחה. טענת המבקשת כי צילומיה מופצים בקרב מכריה ואנשי השכונה מתוך מטרה להפעיל לחץ על המבקשת, לא הוכחה על אף שלא היה כל קושי, </w:t>
      </w:r>
      <w:r>
        <w:rPr>
          <w:rFonts w:ascii="David" w:hAnsi="David"/>
          <w:rtl/>
        </w:rPr>
        <w:lastRenderedPageBreak/>
        <w:t>על פני הדברים, לצרף תמונה או תצהיר מתאימים. מכל מקום, ככל שסבורה המבקשת כי פרטיותה נפגעת, רשאית היא למצות את זכויותיה במסגרת פרוצדוראלית מתאימה.</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 xml:space="preserve">במסגרת הבקשה לחלוקת כספים, המבקשת הפנתה להחלטתי בתמ"ש 40564-11-18 </w:t>
      </w:r>
      <w:r>
        <w:rPr>
          <w:rFonts w:ascii="David" w:hAnsi="David"/>
          <w:b/>
          <w:bCs/>
          <w:rtl/>
        </w:rPr>
        <w:t>ק.ש. נ' א.ש.</w:t>
      </w:r>
      <w:r>
        <w:rPr>
          <w:rFonts w:ascii="David" w:hAnsi="David"/>
          <w:rtl/>
        </w:rPr>
        <w:t xml:space="preserve"> (4.8.2020) בה נעתרתי לתשלום כספים ע"ס 500,000 ₪ על חשבון איזון המשאבים העתידי ואולם אין להשוות בין שני המקרים כלל וכלל. בתמ"ש 40564-11-18 הוגשה חוות דעת מומחה והיה ברור כי הסך המבוקש לחלוקה שווה ל-5% בלבד מתשלום האיזון הנמוך בין השניים בהתאם לחוות הדעת. מנגד, במקרה שלפניי, טרם הוגשה חוות דעת המומחה, וטרם ברורה "המפה הכלכלית" של בני הזוג. לאור עובדה זו והשוני המהותי בין שני ההליכים, אין מקום להשוות ביניהם והדבר נכון ביתר שאת, מקום בו נטען על-ידי המשיב כי לצדדים חובות עתק, שהם חובות משותפים והחזרי הלוואות גבוהים בצורה משמעותית מההכנסות והמשיב נדרש להוסיף כספים פרטיים.</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לאור כל אלה, אני מורה על דחיית שתי הבקשות.</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 xml:space="preserve">לאור התוצאה, המבקשת תישא בהוצאות המשיב בגין שתי הבקשות בסך של 3,000 ₪. </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David" w:hAnsi="David"/>
          <w:rtl/>
        </w:rPr>
      </w:pPr>
      <w:r>
        <w:rPr>
          <w:rFonts w:ascii="David" w:hAnsi="David"/>
          <w:rtl/>
        </w:rPr>
        <w:t xml:space="preserve">לפנים משורת הדין איני עושה צו להוצאות לטובת אוצר המדינה בגין נטילת רשות (בשונה מקבלת רשות) להגדיל את היקף עמודי הבקשה ביחס להיקף הקבוע בתקנה 50 (5) לתקנות. על הסמכות של בית המשפט להשית הוצאות לטובת אוצר המדינה, על צד שהאריך יתר על המידה בהיקף כתבי הטענות </w:t>
      </w:r>
      <w:r>
        <w:rPr>
          <w:rFonts w:ascii="David" w:hAnsi="David"/>
          <w:b/>
          <w:bCs/>
          <w:rtl/>
        </w:rPr>
        <w:t>ראו</w:t>
      </w:r>
      <w:r>
        <w:rPr>
          <w:rFonts w:ascii="David" w:hAnsi="David"/>
          <w:rtl/>
        </w:rPr>
        <w:t xml:space="preserve">: </w:t>
      </w:r>
      <w:bookmarkStart w:id="1" w:name="casename_body"/>
      <w:r>
        <w:rPr>
          <w:rFonts w:ascii="David" w:hAnsi="David"/>
          <w:rtl/>
        </w:rPr>
        <w:t>רע"א 615/11</w:t>
      </w:r>
      <w:bookmarkEnd w:id="1"/>
      <w:r>
        <w:rPr>
          <w:rFonts w:ascii="David" w:hAnsi="David"/>
          <w:rtl/>
        </w:rPr>
        <w:t xml:space="preserve"> </w:t>
      </w:r>
      <w:r>
        <w:rPr>
          <w:rFonts w:ascii="David" w:hAnsi="David"/>
          <w:b/>
          <w:bCs/>
          <w:color w:val="000000"/>
          <w:rtl/>
        </w:rPr>
        <w:t xml:space="preserve">סופר מדיק (מדיק לייט) נ' </w:t>
      </w:r>
      <w:r>
        <w:rPr>
          <w:rFonts w:ascii="David" w:hAnsi="David"/>
          <w:b/>
          <w:bCs/>
          <w:color w:val="000000"/>
        </w:rPr>
        <w:t>ANTON HUBNER CMBH &amp;CO. KG . 1</w:t>
      </w:r>
      <w:r>
        <w:rPr>
          <w:rFonts w:ascii="David" w:hAnsi="David"/>
          <w:b/>
          <w:bCs/>
          <w:rtl/>
        </w:rPr>
        <w:t xml:space="preserve"> </w:t>
      </w:r>
      <w:r>
        <w:rPr>
          <w:rFonts w:ascii="David" w:hAnsi="David"/>
          <w:rtl/>
        </w:rPr>
        <w:t>(27.3.2011).</w:t>
      </w:r>
    </w:p>
    <w:p w:rsidR="00E62C19" w:rsidRDefault="00E62C19" w:rsidP="00E62C19">
      <w:pPr>
        <w:spacing w:line="360" w:lineRule="auto"/>
        <w:jc w:val="both"/>
        <w:rPr>
          <w:rFonts w:ascii="David" w:hAnsi="David"/>
          <w:rtl/>
        </w:rPr>
      </w:pPr>
    </w:p>
    <w:p w:rsidR="00E62C19" w:rsidRPr="00C20353" w:rsidRDefault="00C20353" w:rsidP="00E62C19">
      <w:pPr>
        <w:spacing w:line="360" w:lineRule="auto"/>
        <w:jc w:val="both"/>
        <w:rPr>
          <w:rFonts w:ascii="David" w:hAnsi="David"/>
          <w:rtl/>
        </w:rPr>
      </w:pPr>
      <w:r w:rsidRPr="00C20353">
        <w:rPr>
          <w:rFonts w:ascii="David" w:hAnsi="David" w:hint="cs"/>
          <w:rtl/>
        </w:rPr>
        <w:t>אני מתיר את פרסום ההחלטה לאחר השמטת פרטים מזהים.</w:t>
      </w:r>
    </w:p>
    <w:p w:rsidR="00E62C19" w:rsidRDefault="00E62C19" w:rsidP="00E62C19">
      <w:pPr>
        <w:spacing w:line="360" w:lineRule="auto"/>
        <w:jc w:val="both"/>
        <w:rPr>
          <w:rFonts w:ascii="David" w:hAnsi="David"/>
          <w:rtl/>
        </w:rPr>
      </w:pPr>
    </w:p>
    <w:p w:rsidR="00E62C19" w:rsidRDefault="00E62C19" w:rsidP="00E62C19">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 סיוון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16 יוני 2024</w:t>
          </w:r>
        </w:sdtContent>
      </w:sdt>
      <w:r>
        <w:rPr>
          <w:rFonts w:ascii="Arial" w:hAnsi="Arial"/>
          <w:noProof w:val="0"/>
          <w:rtl/>
        </w:rPr>
        <w:t>, בהעדר הצדדים.</w:t>
      </w:r>
    </w:p>
    <w:p w:rsidR="00E62C19" w:rsidRDefault="00E62C19" w:rsidP="00E62C19">
      <w:pPr>
        <w:spacing w:line="360" w:lineRule="auto"/>
        <w:jc w:val="center"/>
        <w:rPr>
          <w:rFonts w:ascii="Arial" w:hAnsi="Arial"/>
          <w:noProof w:val="0"/>
          <w:rtl/>
        </w:rPr>
      </w:pPr>
    </w:p>
    <w:p w:rsidR="00E62C19" w:rsidRDefault="00E62C19" w:rsidP="00E62C19">
      <w:pPr>
        <w:spacing w:line="360" w:lineRule="auto"/>
        <w:jc w:val="center"/>
      </w:pPr>
      <w:r>
        <w:rPr>
          <w:rFonts w:ascii="Arial" w:hAnsi="Arial"/>
          <w:noProof w:val="0"/>
          <w:rtl/>
        </w:rPr>
        <w:tab/>
      </w:r>
      <w:r>
        <w:rPr>
          <w:rFonts w:ascii="Arial" w:hAnsi="Arial"/>
          <w:noProof w:val="0"/>
          <w:rtl/>
        </w:rPr>
        <w:tab/>
      </w:r>
      <w:sdt>
        <w:sdtPr>
          <w:rPr>
            <w:rtl/>
          </w:rPr>
          <w:alias w:val="MergeField"/>
          <w:tag w:val="1237"/>
          <w:id w:val="-1831367028"/>
        </w:sdtPr>
        <w:sdtEndPr/>
        <w:sdtContent>
          <w:r>
            <w:drawing>
              <wp:inline distT="0" distB="0" distL="0" distR="0" wp14:anchorId="0A43676E" wp14:editId="56E39F15">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828800" cy="733425"/>
                        </a:xfrm>
                        <a:prstGeom prst="rect">
                          <a:avLst/>
                        </a:prstGeom>
                      </pic:spPr>
                    </pic:pic>
                  </a:graphicData>
                </a:graphic>
              </wp:inline>
            </w:drawing>
          </w:r>
        </w:sdtContent>
      </w:sdt>
    </w:p>
    <w:p w:rsidR="00E62C19" w:rsidRDefault="00E62C19" w:rsidP="00E62C19">
      <w:pPr>
        <w:spacing w:line="360" w:lineRule="auto"/>
        <w:jc w:val="center"/>
        <w:rPr>
          <w:rFonts w:ascii="Arial" w:hAnsi="Arial"/>
          <w:noProof w:val="0"/>
          <w:rtl/>
        </w:rPr>
      </w:pPr>
    </w:p>
    <w:p w:rsidR="00E62C19" w:rsidRDefault="00E62C19" w:rsidP="00E62C19">
      <w:pPr>
        <w:spacing w:line="360" w:lineRule="auto"/>
        <w:jc w:val="both"/>
        <w:rPr>
          <w:rFonts w:ascii="Arial" w:hAnsi="Arial"/>
          <w:noProof w:val="0"/>
          <w:rtl/>
        </w:rPr>
      </w:pPr>
    </w:p>
    <w:p w:rsidR="00E62C19" w:rsidRDefault="00E62C19" w:rsidP="00E62C19">
      <w:pPr>
        <w:spacing w:line="360" w:lineRule="auto"/>
        <w:jc w:val="both"/>
        <w:rPr>
          <w:rFonts w:ascii="Arial" w:hAnsi="Arial"/>
          <w:noProof w:val="0"/>
          <w:rtl/>
        </w:rPr>
      </w:pPr>
    </w:p>
    <w:p w:rsidR="00E62C19" w:rsidRDefault="00E62C19" w:rsidP="00E62C19">
      <w:pPr>
        <w:spacing w:line="360" w:lineRule="auto"/>
        <w:jc w:val="both"/>
        <w:rPr>
          <w:rFonts w:ascii="Arial" w:hAnsi="Arial"/>
          <w:noProof w:val="0"/>
          <w:rtl/>
        </w:rPr>
      </w:pPr>
    </w:p>
    <w:p w:rsidR="00E62C19" w:rsidRDefault="00E62C19" w:rsidP="00E62C19">
      <w:pPr>
        <w:spacing w:line="360" w:lineRule="auto"/>
        <w:jc w:val="both"/>
        <w:rPr>
          <w:rFonts w:ascii="Arial" w:hAnsi="Arial"/>
          <w:noProof w:val="0"/>
          <w:rtl/>
        </w:rPr>
      </w:pPr>
    </w:p>
    <w:p w:rsidR="00E62C19" w:rsidRDefault="00E62C19" w:rsidP="00E62C19">
      <w:pPr>
        <w:spacing w:line="360" w:lineRule="auto"/>
        <w:jc w:val="both"/>
        <w:rPr>
          <w:rFonts w:ascii="Arial" w:hAnsi="Arial"/>
          <w:noProof w:val="0"/>
          <w:rtl/>
        </w:rPr>
      </w:pPr>
    </w:p>
    <w:p w:rsidR="00ED00B9" w:rsidRDefault="00ED00B9"/>
    <w:sectPr w:rsidR="00ED00B9" w:rsidSect="002914D6">
      <w:headerReference w:type="default" r:id="rId7"/>
      <w:footerReference w:type="default" r:id="rId8"/>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D94" w:rsidRDefault="00851D94" w:rsidP="00E62C19">
      <w:r>
        <w:separator/>
      </w:r>
    </w:p>
  </w:endnote>
  <w:endnote w:type="continuationSeparator" w:id="0">
    <w:p w:rsidR="00851D94" w:rsidRDefault="00851D94" w:rsidP="00E62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62C19">
    <w:pPr>
      <w:pStyle w:val="a5"/>
      <w:jc w:val="center"/>
      <w:rPr>
        <w:rStyle w:val="a8"/>
      </w:rPr>
    </w:pPr>
    <w:r>
      <w:rPr>
        <w:rStyle w:val="a8"/>
      </w:rPr>
      <w:fldChar w:fldCharType="begin"/>
    </w:r>
    <w:r>
      <w:rPr>
        <w:rStyle w:val="a8"/>
      </w:rPr>
      <w:instrText xml:space="preserve"> PAGE </w:instrText>
    </w:r>
    <w:r>
      <w:rPr>
        <w:rStyle w:val="a8"/>
      </w:rPr>
      <w:fldChar w:fldCharType="separate"/>
    </w:r>
    <w:r w:rsidR="00FD6360">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FD6360">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D94" w:rsidRDefault="00851D94" w:rsidP="00E62C19">
      <w:r>
        <w:separator/>
      </w:r>
    </w:p>
  </w:footnote>
  <w:footnote w:type="continuationSeparator" w:id="0">
    <w:p w:rsidR="00851D94" w:rsidRDefault="00851D94" w:rsidP="00E62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62C19">
    <w:pPr>
      <w:pStyle w:val="a3"/>
      <w:jc w:val="center"/>
      <w:rPr>
        <w:rFonts w:cs="FrankRuehl"/>
        <w:noProof w:val="0"/>
        <w:sz w:val="28"/>
        <w:szCs w:val="28"/>
        <w:rtl/>
      </w:rPr>
    </w:pPr>
    <w:r>
      <w:rPr>
        <w:rFonts w:cs="FrankRuehl"/>
        <w:sz w:val="28"/>
        <w:szCs w:val="28"/>
      </w:rPr>
      <w:drawing>
        <wp:inline distT="0" distB="0" distL="0" distR="0" wp14:anchorId="4566EC1C" wp14:editId="187CC039">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E62C19">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851D94">
          <w:pPr>
            <w:rPr>
              <w:b/>
              <w:bCs/>
              <w:noProof w:val="0"/>
              <w:sz w:val="26"/>
              <w:szCs w:val="26"/>
              <w:rtl/>
            </w:rPr>
          </w:pPr>
        </w:p>
      </w:tc>
      <w:sdt>
        <w:sdtPr>
          <w:rPr>
            <w:rtl/>
          </w:rPr>
          <w:alias w:val="1456"/>
          <w:tag w:val="1456"/>
          <w:id w:val="-1143425472"/>
          <w:text/>
        </w:sdtPr>
        <w:sdtEndPr/>
        <w:sdtContent>
          <w:tc>
            <w:tcPr>
              <w:tcW w:w="3674" w:type="dxa"/>
            </w:tcPr>
            <w:p w:rsidR="002914D6" w:rsidRDefault="00E62C19">
              <w:pPr>
                <w:pStyle w:val="a3"/>
                <w:jc w:val="right"/>
                <w:rPr>
                  <w:b/>
                  <w:bCs/>
                  <w:noProof w:val="0"/>
                  <w:sz w:val="26"/>
                  <w:szCs w:val="26"/>
                  <w:rtl/>
                </w:rPr>
              </w:pPr>
              <w:r>
                <w:rPr>
                  <w:b/>
                  <w:bCs/>
                  <w:noProof w:val="0"/>
                  <w:sz w:val="26"/>
                  <w:szCs w:val="26"/>
                  <w:rtl/>
                </w:rPr>
                <w:t>16 יוני 2024</w:t>
              </w:r>
            </w:p>
          </w:tc>
        </w:sdtContent>
      </w:sdt>
    </w:tr>
    <w:tr w:rsidR="002914D6">
      <w:trPr>
        <w:trHeight w:val="337"/>
        <w:jc w:val="center"/>
      </w:trPr>
      <w:tc>
        <w:tcPr>
          <w:tcW w:w="8721" w:type="dxa"/>
          <w:gridSpan w:val="2"/>
        </w:tcPr>
        <w:p w:rsidR="002914D6" w:rsidRDefault="00851D94" w:rsidP="00573179">
          <w:pPr>
            <w:rPr>
              <w:b/>
              <w:bCs/>
              <w:noProof w:val="0"/>
              <w:sz w:val="26"/>
              <w:szCs w:val="26"/>
              <w:rtl/>
            </w:rPr>
          </w:pPr>
          <w:sdt>
            <w:sdtPr>
              <w:rPr>
                <w:rtl/>
              </w:rPr>
              <w:alias w:val="1170"/>
              <w:tag w:val="1170"/>
              <w:id w:val="632838173"/>
              <w:text w:multiLine="1"/>
            </w:sdtPr>
            <w:sdtEndPr/>
            <w:sdtContent>
              <w:r w:rsidR="00E62C19">
                <w:rPr>
                  <w:b/>
                  <w:bCs/>
                  <w:noProof w:val="0"/>
                  <w:sz w:val="26"/>
                  <w:szCs w:val="26"/>
                  <w:rtl/>
                </w:rPr>
                <w:t>תלה"מ</w:t>
              </w:r>
            </w:sdtContent>
          </w:sdt>
          <w:r w:rsidR="00E62C19">
            <w:rPr>
              <w:b/>
              <w:bCs/>
              <w:noProof w:val="0"/>
              <w:sz w:val="26"/>
              <w:szCs w:val="26"/>
              <w:rtl/>
            </w:rPr>
            <w:t xml:space="preserve"> </w:t>
          </w:r>
          <w:sdt>
            <w:sdtPr>
              <w:rPr>
                <w:rtl/>
              </w:rPr>
              <w:alias w:val="1171"/>
              <w:tag w:val="1171"/>
              <w:id w:val="-1684506308"/>
              <w:text w:multiLine="1"/>
            </w:sdtPr>
            <w:sdtEndPr/>
            <w:sdtContent>
              <w:r w:rsidR="00E62C19">
                <w:rPr>
                  <w:b/>
                  <w:bCs/>
                  <w:noProof w:val="0"/>
                  <w:sz w:val="26"/>
                  <w:szCs w:val="26"/>
                  <w:rtl/>
                </w:rPr>
                <w:t>23946-05-23</w:t>
              </w:r>
            </w:sdtContent>
          </w:sdt>
          <w:r w:rsidR="00E62C19">
            <w:rPr>
              <w:b/>
              <w:bCs/>
              <w:noProof w:val="0"/>
              <w:sz w:val="26"/>
              <w:szCs w:val="26"/>
              <w:rtl/>
            </w:rPr>
            <w:t xml:space="preserve"> </w:t>
          </w:r>
          <w:sdt>
            <w:sdtPr>
              <w:rPr>
                <w:rtl/>
              </w:rPr>
              <w:alias w:val="1172"/>
              <w:tag w:val="1172"/>
              <w:id w:val="1484202908"/>
              <w:text w:multiLine="1"/>
            </w:sdtPr>
            <w:sdtEndPr/>
            <w:sdtContent>
              <w:r w:rsidR="00573179">
                <w:rPr>
                  <w:rFonts w:hint="cs"/>
                  <w:b/>
                  <w:bCs/>
                  <w:noProof w:val="0"/>
                  <w:sz w:val="26"/>
                  <w:szCs w:val="26"/>
                  <w:rtl/>
                </w:rPr>
                <w:t>פלונית</w:t>
              </w:r>
              <w:r w:rsidR="00E62C19">
                <w:rPr>
                  <w:b/>
                  <w:bCs/>
                  <w:noProof w:val="0"/>
                  <w:sz w:val="26"/>
                  <w:szCs w:val="26"/>
                  <w:rtl/>
                </w:rPr>
                <w:t xml:space="preserve"> נ' </w:t>
              </w:r>
              <w:r w:rsidR="00573179">
                <w:rPr>
                  <w:rFonts w:hint="cs"/>
                  <w:b/>
                  <w:bCs/>
                  <w:noProof w:val="0"/>
                  <w:sz w:val="26"/>
                  <w:szCs w:val="26"/>
                  <w:rtl/>
                </w:rPr>
                <w:t>פלוני</w:t>
              </w:r>
            </w:sdtContent>
          </w:sdt>
        </w:p>
        <w:p w:rsidR="002914D6" w:rsidRDefault="00851D94">
          <w:pPr>
            <w:rPr>
              <w:rtl/>
            </w:rPr>
          </w:pPr>
        </w:p>
        <w:p w:rsidR="000C5663" w:rsidRDefault="00851D94">
          <w:pPr>
            <w:rPr>
              <w:rtl/>
            </w:rPr>
          </w:pPr>
        </w:p>
      </w:tc>
    </w:tr>
  </w:tbl>
  <w:p w:rsidR="002914D6" w:rsidRDefault="00E62C19">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C19"/>
    <w:rsid w:val="0014208F"/>
    <w:rsid w:val="00573179"/>
    <w:rsid w:val="005D4DDE"/>
    <w:rsid w:val="00851D94"/>
    <w:rsid w:val="009F244E"/>
    <w:rsid w:val="00A4019C"/>
    <w:rsid w:val="00AE16B5"/>
    <w:rsid w:val="00C20353"/>
    <w:rsid w:val="00E62C19"/>
    <w:rsid w:val="00ED00B9"/>
    <w:rsid w:val="00FD636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5EBEC0-EAE2-4AF8-A098-905F21C77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C1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62C19"/>
    <w:pPr>
      <w:tabs>
        <w:tab w:val="center" w:pos="4153"/>
        <w:tab w:val="right" w:pos="8306"/>
      </w:tabs>
    </w:pPr>
  </w:style>
  <w:style w:type="character" w:customStyle="1" w:styleId="a4">
    <w:name w:val="כותרת עליונה תו"/>
    <w:basedOn w:val="a0"/>
    <w:link w:val="a3"/>
    <w:rsid w:val="00E62C19"/>
    <w:rPr>
      <w:rFonts w:ascii="Times New Roman" w:eastAsia="Times New Roman" w:hAnsi="Times New Roman" w:cs="David"/>
      <w:noProof/>
      <w:sz w:val="24"/>
      <w:szCs w:val="24"/>
    </w:rPr>
  </w:style>
  <w:style w:type="paragraph" w:styleId="a5">
    <w:name w:val="footer"/>
    <w:basedOn w:val="a"/>
    <w:link w:val="a6"/>
    <w:rsid w:val="00E62C19"/>
    <w:pPr>
      <w:tabs>
        <w:tab w:val="center" w:pos="4153"/>
        <w:tab w:val="right" w:pos="8306"/>
      </w:tabs>
    </w:pPr>
  </w:style>
  <w:style w:type="character" w:customStyle="1" w:styleId="a6">
    <w:name w:val="כותרת תחתונה תו"/>
    <w:basedOn w:val="a0"/>
    <w:link w:val="a5"/>
    <w:rsid w:val="00E62C19"/>
    <w:rPr>
      <w:rFonts w:ascii="Times New Roman" w:eastAsia="Times New Roman" w:hAnsi="Times New Roman" w:cs="David"/>
      <w:noProof/>
      <w:sz w:val="24"/>
      <w:szCs w:val="24"/>
    </w:rPr>
  </w:style>
  <w:style w:type="table" w:styleId="a7">
    <w:name w:val="Table Grid"/>
    <w:basedOn w:val="a1"/>
    <w:rsid w:val="00E62C1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62C19"/>
  </w:style>
  <w:style w:type="table" w:styleId="a9">
    <w:name w:val="Grid Table Light"/>
    <w:basedOn w:val="a1"/>
    <w:uiPriority w:val="40"/>
    <w:rsid w:val="00E62C19"/>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a0"/>
    <w:uiPriority w:val="99"/>
    <w:semiHidden/>
    <w:unhideWhenUsed/>
    <w:rsid w:val="00E62C19"/>
    <w:rPr>
      <w:color w:val="0000FF"/>
      <w:u w:val="single"/>
    </w:rPr>
  </w:style>
  <w:style w:type="character" w:styleId="aa">
    <w:name w:val="line number"/>
    <w:basedOn w:val="a0"/>
    <w:uiPriority w:val="99"/>
    <w:semiHidden/>
    <w:unhideWhenUsed/>
    <w:rsid w:val="00E62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1056</Words>
  <Characters>5281</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גרמאו מנגיסטו</cp:lastModifiedBy>
  <cp:revision>2</cp:revision>
  <dcterms:created xsi:type="dcterms:W3CDTF">2024-07-01T06:43:00Z</dcterms:created>
  <dcterms:modified xsi:type="dcterms:W3CDTF">2024-07-01T06:43:00Z</dcterms:modified>
</cp:coreProperties>
</file>